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E3" w:rsidRDefault="00744CB1">
      <w:r>
        <w:fldChar w:fldCharType="begin"/>
      </w:r>
      <w:r>
        <w:instrText xml:space="preserve"> HYPERLINK "</w:instrText>
      </w:r>
      <w:r w:rsidRPr="00744CB1">
        <w:instrText>https://www.ncbi.nlm.nih.gov/pubmed/30186883</w:instrText>
      </w:r>
      <w:r>
        <w:instrText xml:space="preserve">" </w:instrText>
      </w:r>
      <w:r>
        <w:fldChar w:fldCharType="separate"/>
      </w:r>
      <w:r w:rsidRPr="00A74964">
        <w:rPr>
          <w:rStyle w:val="Hyperlink"/>
        </w:rPr>
        <w:t>https://www.ncbi.nlm.nih.gov/pubmed/30186883</w:t>
      </w:r>
      <w:r>
        <w:fldChar w:fldCharType="end"/>
      </w:r>
    </w:p>
    <w:p w:rsidR="00744CB1" w:rsidRPr="00744CB1" w:rsidRDefault="00744CB1" w:rsidP="0074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hyperlink r:id="rId4" w:tooltip="Advances in medicine." w:history="1">
        <w:proofErr w:type="spellStart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Adv</w:t>
        </w:r>
        <w:proofErr w:type="spellEnd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Med.</w:t>
        </w:r>
      </w:hyperlink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2018 Aug 13</w:t>
      </w:r>
      <w:proofErr w:type="gramStart"/>
      <w:r w:rsidRPr="00744CB1">
        <w:rPr>
          <w:rFonts w:ascii="Arial" w:eastAsia="Times New Roman" w:hAnsi="Arial" w:cs="Arial"/>
          <w:sz w:val="20"/>
          <w:szCs w:val="20"/>
          <w:lang w:val="en"/>
        </w:rPr>
        <w:t>;2018:4135607</w:t>
      </w:r>
      <w:proofErr w:type="gram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. </w:t>
      </w:r>
      <w:proofErr w:type="spellStart"/>
      <w:proofErr w:type="gramStart"/>
      <w:r w:rsidRPr="00744CB1">
        <w:rPr>
          <w:rFonts w:ascii="Arial" w:eastAsia="Times New Roman" w:hAnsi="Arial" w:cs="Arial"/>
          <w:sz w:val="20"/>
          <w:szCs w:val="20"/>
          <w:lang w:val="en"/>
        </w:rPr>
        <w:t>doi</w:t>
      </w:r>
      <w:proofErr w:type="spellEnd"/>
      <w:proofErr w:type="gram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: 10.1155/2018/4135607. </w:t>
      </w:r>
      <w:proofErr w:type="spellStart"/>
      <w:proofErr w:type="gramStart"/>
      <w:r w:rsidRPr="00744CB1">
        <w:rPr>
          <w:rFonts w:ascii="Arial" w:eastAsia="Times New Roman" w:hAnsi="Arial" w:cs="Arial"/>
          <w:sz w:val="20"/>
          <w:szCs w:val="20"/>
          <w:lang w:val="en"/>
        </w:rPr>
        <w:t>eCollection</w:t>
      </w:r>
      <w:proofErr w:type="spellEnd"/>
      <w:proofErr w:type="gram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2018.</w:t>
      </w:r>
    </w:p>
    <w:p w:rsidR="00744CB1" w:rsidRPr="00744CB1" w:rsidRDefault="00744CB1" w:rsidP="00744CB1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</w:pPr>
      <w:r w:rsidRPr="00744CB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  <w:t>Effectiveness of Systematic Periodontal Treatment in Male HIV-Infected Patients after 9 Years: A Case Series.</w:t>
      </w:r>
    </w:p>
    <w:p w:rsidR="00744CB1" w:rsidRPr="00744CB1" w:rsidRDefault="00744CB1" w:rsidP="0074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hyperlink r:id="rId5" w:history="1"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Jordan RA</w:t>
        </w:r>
      </w:hyperlink>
      <w:r w:rsidRPr="00744CB1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1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6" w:history="1">
        <w:proofErr w:type="spellStart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Lucaciu</w:t>
        </w:r>
        <w:proofErr w:type="spellEnd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A</w:t>
        </w:r>
      </w:hyperlink>
      <w:r w:rsidRPr="00744CB1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2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7" w:history="1">
        <w:proofErr w:type="spellStart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Schaper</w:t>
        </w:r>
        <w:proofErr w:type="spellEnd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K</w:t>
        </w:r>
      </w:hyperlink>
      <w:r w:rsidRPr="00744CB1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3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8" w:history="1">
        <w:proofErr w:type="spellStart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Jöhren</w:t>
        </w:r>
        <w:proofErr w:type="spellEnd"/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HP</w:t>
        </w:r>
      </w:hyperlink>
      <w:r w:rsidRPr="00744CB1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4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9" w:history="1">
        <w:r w:rsidRPr="00744CB1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Zimmer S</w:t>
        </w:r>
      </w:hyperlink>
      <w:r w:rsidRPr="00744CB1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1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744CB1" w:rsidRPr="00744CB1" w:rsidRDefault="00744CB1" w:rsidP="00744CB1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  <w:lang w:val="en"/>
        </w:rPr>
      </w:pPr>
      <w:hyperlink r:id="rId10" w:tooltip="Open/close author information list" w:history="1">
        <w:r w:rsidRPr="00744CB1">
          <w:rPr>
            <w:rFonts w:ascii="Arial" w:eastAsia="Times New Roman" w:hAnsi="Arial" w:cs="Arial"/>
            <w:b/>
            <w:bCs/>
            <w:color w:val="2F4A8B"/>
            <w:u w:val="single"/>
            <w:lang w:val="en"/>
          </w:rPr>
          <w:t>Author information</w:t>
        </w:r>
      </w:hyperlink>
    </w:p>
    <w:p w:rsidR="00744CB1" w:rsidRPr="00744CB1" w:rsidRDefault="00744CB1" w:rsidP="0074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1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Department of Operative and Preventive Dentistry, Faculty of Health, School of Dentistry, Witten/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Herdecke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University, Witten, Germany.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2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Department of Periodontology, Faculty of Health, School of Dentistry, Witten/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Herdecke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University, Witten, Germany.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3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Institute of Medical Biometry and Epidemiology, Faculty of Health, School of Medicine, Witten/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Herdecke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University, Witten, Germany.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4</w:t>
      </w:r>
    </w:p>
    <w:p w:rsidR="00744CB1" w:rsidRPr="00744CB1" w:rsidRDefault="00744CB1" w:rsidP="00744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Department of Oral Surgery, Faculty of Health, School of Dentistry, Witten/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Herdecke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University, Witten, Germany.</w:t>
      </w:r>
    </w:p>
    <w:p w:rsidR="00744CB1" w:rsidRPr="00744CB1" w:rsidRDefault="00744CB1" w:rsidP="00744CB1">
      <w:pPr>
        <w:shd w:val="clear" w:color="auto" w:fill="FFFFFF"/>
        <w:spacing w:before="308" w:after="154" w:line="240" w:lineRule="auto"/>
        <w:ind w:left="960"/>
        <w:outlineLvl w:val="2"/>
        <w:rPr>
          <w:rFonts w:ascii="Arial" w:eastAsia="Times New Roman" w:hAnsi="Arial" w:cs="Arial"/>
          <w:b/>
          <w:bCs/>
          <w:color w:val="724128"/>
          <w:lang w:val="en"/>
        </w:rPr>
      </w:pPr>
      <w:r w:rsidRPr="00744CB1">
        <w:rPr>
          <w:rFonts w:ascii="Arial" w:eastAsia="Times New Roman" w:hAnsi="Arial" w:cs="Arial"/>
          <w:b/>
          <w:bCs/>
          <w:color w:val="724128"/>
          <w:lang w:val="en"/>
        </w:rPr>
        <w:t>Abstract</w:t>
      </w:r>
    </w:p>
    <w:p w:rsidR="00744CB1" w:rsidRPr="00744CB1" w:rsidRDefault="00744CB1" w:rsidP="00744CB1">
      <w:pPr>
        <w:shd w:val="clear" w:color="auto" w:fill="FFFFFF"/>
        <w:spacing w:before="332" w:after="166" w:line="240" w:lineRule="auto"/>
        <w:ind w:left="96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  <w:t xml:space="preserve">Objective: </w:t>
      </w:r>
    </w:p>
    <w:p w:rsidR="00744CB1" w:rsidRPr="00744CB1" w:rsidRDefault="00744CB1" w:rsidP="00744CB1">
      <w:p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>To investigate effectiveness of systematic periodontal treatment in the long term in HIV-infected patients undergoing highly active antiretroviral treatment.</w:t>
      </w:r>
    </w:p>
    <w:p w:rsidR="00744CB1" w:rsidRPr="00744CB1" w:rsidRDefault="00744CB1" w:rsidP="00744CB1">
      <w:pPr>
        <w:shd w:val="clear" w:color="auto" w:fill="FFFFFF"/>
        <w:spacing w:before="332" w:after="166" w:line="240" w:lineRule="auto"/>
        <w:ind w:left="96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  <w:t xml:space="preserve">Methods: </w:t>
      </w:r>
    </w:p>
    <w:p w:rsidR="00744CB1" w:rsidRPr="00744CB1" w:rsidRDefault="00744CB1" w:rsidP="00744CB1">
      <w:p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Longitudinal, prospective, open-label case series over a period of nine years. Periodontal treatment was performed by scaling and root 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planing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and supportive periodontal care (SPC) at regular intervals. To measure effectiveness, reductions of pocket probing depths were defined as primary study endpoint.</w:t>
      </w:r>
    </w:p>
    <w:p w:rsidR="00744CB1" w:rsidRPr="00744CB1" w:rsidRDefault="00744CB1" w:rsidP="00744CB1">
      <w:pPr>
        <w:shd w:val="clear" w:color="auto" w:fill="FFFFFF"/>
        <w:spacing w:before="332" w:after="166" w:line="240" w:lineRule="auto"/>
        <w:ind w:left="96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  <w:t xml:space="preserve">Results: </w:t>
      </w:r>
    </w:p>
    <w:p w:rsidR="00744CB1" w:rsidRPr="00744CB1" w:rsidRDefault="00744CB1" w:rsidP="00744CB1">
      <w:p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During the study period, there was a proportional increase in periodontal pockets ≥4 mm of +53% and in pockets ≥ 6 mm of +100%. Mean pocket depth reductions on patient's level were, however, 0.4 mm nine years after scaling and root 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planing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and supportive periodontal care (</w:t>
      </w:r>
      <w:r w:rsidRPr="00744CB1">
        <w:rPr>
          <w:rFonts w:ascii="Arial" w:eastAsia="Times New Roman" w:hAnsi="Arial" w:cs="Arial"/>
          <w:i/>
          <w:iCs/>
          <w:sz w:val="20"/>
          <w:szCs w:val="20"/>
          <w:lang w:val="en"/>
        </w:rPr>
        <w:t>p</w:t>
      </w:r>
      <w:r w:rsidRPr="00744CB1">
        <w:rPr>
          <w:rFonts w:ascii="Arial" w:eastAsia="Times New Roman" w:hAnsi="Arial" w:cs="Arial"/>
          <w:sz w:val="20"/>
          <w:szCs w:val="20"/>
          <w:lang w:val="en"/>
        </w:rPr>
        <w:t>=0.180). No teeth were lost during the observation period.</w:t>
      </w:r>
    </w:p>
    <w:p w:rsidR="00744CB1" w:rsidRPr="00744CB1" w:rsidRDefault="00744CB1" w:rsidP="00744CB1">
      <w:pPr>
        <w:shd w:val="clear" w:color="auto" w:fill="FFFFFF"/>
        <w:spacing w:before="332" w:after="166" w:line="240" w:lineRule="auto"/>
        <w:ind w:left="96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  <w:t xml:space="preserve">Conclusions: </w:t>
      </w:r>
    </w:p>
    <w:p w:rsidR="00744CB1" w:rsidRPr="00744CB1" w:rsidRDefault="00744CB1" w:rsidP="00744CB1">
      <w:pPr>
        <w:shd w:val="clear" w:color="auto" w:fill="FFFFFF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val="en"/>
        </w:rPr>
      </w:pPr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In terms of best evidence available, it is concluded that systematic periodontal treatment including SPC is effective in </w:t>
      </w:r>
      <w:proofErr w:type="spellStart"/>
      <w:r w:rsidRPr="00744CB1">
        <w:rPr>
          <w:rFonts w:ascii="Arial" w:eastAsia="Times New Roman" w:hAnsi="Arial" w:cs="Arial"/>
          <w:sz w:val="20"/>
          <w:szCs w:val="20"/>
          <w:lang w:val="en"/>
        </w:rPr>
        <w:t>virologically</w:t>
      </w:r>
      <w:proofErr w:type="spellEnd"/>
      <w:r w:rsidRPr="00744CB1">
        <w:rPr>
          <w:rFonts w:ascii="Arial" w:eastAsia="Times New Roman" w:hAnsi="Arial" w:cs="Arial"/>
          <w:sz w:val="20"/>
          <w:szCs w:val="20"/>
          <w:lang w:val="en"/>
        </w:rPr>
        <w:t xml:space="preserve"> controlled HIV infection and can be performed in dental practice safely.</w:t>
      </w:r>
    </w:p>
    <w:p w:rsidR="00744CB1" w:rsidRDefault="00744CB1">
      <w:bookmarkStart w:id="0" w:name="_GoBack"/>
      <w:bookmarkEnd w:id="0"/>
    </w:p>
    <w:sectPr w:rsidR="0074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1"/>
    <w:rsid w:val="00512BE3"/>
    <w:rsid w:val="0074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4433"/>
  <w15:chartTrackingRefBased/>
  <w15:docId w15:val="{528ECAD4-74B2-4B26-9793-BC2BE340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4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85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5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%C3%B6hren%20HP%5BAuthor%5D&amp;cauthor=true&amp;cauthor_uid=30186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Schaper%20K%5BAuthor%5D&amp;cauthor=true&amp;cauthor_uid=301868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Lucaciu%20A%5BAuthor%5D&amp;cauthor=true&amp;cauthor_uid=301868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Jordan%20RA%5BAuthor%5D&amp;cauthor=true&amp;cauthor_uid=30186883" TargetMode="External"/><Relationship Id="rId10" Type="http://schemas.openxmlformats.org/officeDocument/2006/relationships/hyperlink" Target="https://www.ncbi.nlm.nih.gov/pubmed/30186883" TargetMode="External"/><Relationship Id="rId4" Type="http://schemas.openxmlformats.org/officeDocument/2006/relationships/hyperlink" Target="https://www.ncbi.nlm.nih.gov/pubmed/30186883" TargetMode="External"/><Relationship Id="rId9" Type="http://schemas.openxmlformats.org/officeDocument/2006/relationships/hyperlink" Target="https://www.ncbi.nlm.nih.gov/pubmed/?term=Zimmer%20S%5BAuthor%5D&amp;cauthor=true&amp;cauthor_uid=30186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Kosogof</dc:creator>
  <cp:keywords/>
  <dc:description/>
  <cp:lastModifiedBy>Barbara Kosogof</cp:lastModifiedBy>
  <cp:revision>1</cp:revision>
  <dcterms:created xsi:type="dcterms:W3CDTF">2018-09-17T17:10:00Z</dcterms:created>
  <dcterms:modified xsi:type="dcterms:W3CDTF">2018-09-17T17:11:00Z</dcterms:modified>
</cp:coreProperties>
</file>