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FBC6" w14:textId="77777777" w:rsidR="00864711" w:rsidRPr="00285286" w:rsidRDefault="00864711" w:rsidP="00864711">
      <w:pPr>
        <w:rPr>
          <w:rFonts w:ascii="Garamond" w:hAnsi="Garamond"/>
        </w:rPr>
      </w:pPr>
    </w:p>
    <w:tbl>
      <w:tblPr>
        <w:tblStyle w:val="TableGrid"/>
        <w:tblW w:w="5000" w:type="pct"/>
        <w:tblLook w:val="04A0" w:firstRow="1" w:lastRow="0" w:firstColumn="1" w:lastColumn="0" w:noHBand="0" w:noVBand="1"/>
      </w:tblPr>
      <w:tblGrid>
        <w:gridCol w:w="3194"/>
        <w:gridCol w:w="6156"/>
      </w:tblGrid>
      <w:tr w:rsidR="00864711" w:rsidRPr="00285286" w14:paraId="78735316" w14:textId="77777777" w:rsidTr="0084327A">
        <w:tc>
          <w:tcPr>
            <w:tcW w:w="1708" w:type="pct"/>
          </w:tcPr>
          <w:p w14:paraId="50CD89E9" w14:textId="77777777" w:rsidR="00864711" w:rsidRPr="00285286" w:rsidRDefault="00864711" w:rsidP="0084327A">
            <w:pPr>
              <w:rPr>
                <w:rFonts w:ascii="Garamond" w:hAnsi="Garamond"/>
                <w:b/>
              </w:rPr>
            </w:pPr>
            <w:r w:rsidRPr="00285286">
              <w:rPr>
                <w:rFonts w:ascii="Garamond" w:hAnsi="Garamond"/>
                <w:b/>
              </w:rPr>
              <w:t>Term</w:t>
            </w:r>
          </w:p>
        </w:tc>
        <w:tc>
          <w:tcPr>
            <w:tcW w:w="3292" w:type="pct"/>
          </w:tcPr>
          <w:p w14:paraId="78308536" w14:textId="77777777" w:rsidR="00864711" w:rsidRPr="00285286" w:rsidRDefault="00864711" w:rsidP="0084327A">
            <w:pPr>
              <w:rPr>
                <w:rFonts w:ascii="Garamond" w:hAnsi="Garamond"/>
                <w:b/>
              </w:rPr>
            </w:pPr>
            <w:r w:rsidRPr="00285286">
              <w:rPr>
                <w:rFonts w:ascii="Garamond" w:hAnsi="Garamond"/>
                <w:b/>
              </w:rPr>
              <w:t>Definition</w:t>
            </w:r>
          </w:p>
        </w:tc>
      </w:tr>
      <w:tr w:rsidR="00864711" w:rsidRPr="00285286" w14:paraId="493EC6BC" w14:textId="77777777" w:rsidTr="0084327A">
        <w:trPr>
          <w:trHeight w:val="1412"/>
        </w:trPr>
        <w:tc>
          <w:tcPr>
            <w:tcW w:w="1708" w:type="pct"/>
          </w:tcPr>
          <w:p w14:paraId="7B477789" w14:textId="77777777" w:rsidR="00864711" w:rsidRPr="00285286" w:rsidRDefault="00864711" w:rsidP="0084327A">
            <w:pPr>
              <w:rPr>
                <w:rFonts w:ascii="Garamond" w:hAnsi="Garamond" w:cstheme="minorHAnsi"/>
              </w:rPr>
            </w:pPr>
            <w:r w:rsidRPr="00285286">
              <w:rPr>
                <w:rFonts w:ascii="Garamond" w:hAnsi="Garamond" w:cstheme="minorHAnsi"/>
              </w:rPr>
              <w:t xml:space="preserve">Affinity </w:t>
            </w:r>
            <w:r>
              <w:rPr>
                <w:rFonts w:ascii="Garamond" w:hAnsi="Garamond" w:cstheme="minorHAnsi"/>
              </w:rPr>
              <w:t xml:space="preserve">ECHO </w:t>
            </w:r>
            <w:r w:rsidRPr="00285286">
              <w:rPr>
                <w:rFonts w:ascii="Garamond" w:hAnsi="Garamond" w:cstheme="minorHAnsi"/>
              </w:rPr>
              <w:t>Group</w:t>
            </w:r>
          </w:p>
        </w:tc>
        <w:tc>
          <w:tcPr>
            <w:tcW w:w="3292" w:type="pct"/>
          </w:tcPr>
          <w:p w14:paraId="7FC1CF68" w14:textId="77777777" w:rsidR="00864711" w:rsidRPr="00285286" w:rsidRDefault="00864711" w:rsidP="0084327A">
            <w:pPr>
              <w:rPr>
                <w:rFonts w:ascii="Garamond" w:hAnsi="Garamond"/>
              </w:rPr>
            </w:pPr>
            <w:r w:rsidRPr="00C10A5F">
              <w:rPr>
                <w:rFonts w:ascii="Garamond" w:hAnsi="Garamond"/>
                <w:sz w:val="22"/>
                <w:szCs w:val="22"/>
              </w:rPr>
              <w:t>Special interest groups formed with Community Partners (collaborative participants) who target the same subpopulation of focus (e.g., MSM of Color), assume similar roles on the Regional Response Team (e.g., Team Leader) or at the community level (e.g., consumer)</w:t>
            </w:r>
          </w:p>
        </w:tc>
      </w:tr>
      <w:tr w:rsidR="00864711" w:rsidRPr="00285286" w14:paraId="54750C54" w14:textId="77777777" w:rsidTr="0084327A">
        <w:trPr>
          <w:trHeight w:val="1052"/>
        </w:trPr>
        <w:tc>
          <w:tcPr>
            <w:tcW w:w="1708" w:type="pct"/>
          </w:tcPr>
          <w:p w14:paraId="085B012D" w14:textId="0842217D" w:rsidR="00864711" w:rsidRPr="00285286" w:rsidRDefault="00864711" w:rsidP="0084327A">
            <w:pPr>
              <w:rPr>
                <w:rFonts w:ascii="Garamond" w:hAnsi="Garamond" w:cstheme="minorHAnsi"/>
              </w:rPr>
            </w:pPr>
            <w:r w:rsidRPr="00285286">
              <w:rPr>
                <w:rFonts w:ascii="Garamond" w:hAnsi="Garamond" w:cstheme="minorHAnsi"/>
              </w:rPr>
              <w:t>A</w:t>
            </w:r>
            <w:r w:rsidR="007159F2">
              <w:rPr>
                <w:rFonts w:ascii="Garamond" w:hAnsi="Garamond" w:cstheme="minorHAnsi"/>
              </w:rPr>
              <w:t>ffinity</w:t>
            </w:r>
            <w:r w:rsidRPr="00285286">
              <w:rPr>
                <w:rFonts w:ascii="Garamond" w:hAnsi="Garamond" w:cstheme="minorHAnsi"/>
              </w:rPr>
              <w:t xml:space="preserve"> Faculty</w:t>
            </w:r>
          </w:p>
        </w:tc>
        <w:tc>
          <w:tcPr>
            <w:tcW w:w="3292" w:type="pct"/>
          </w:tcPr>
          <w:p w14:paraId="2648DDE3" w14:textId="77777777" w:rsidR="00864711" w:rsidRPr="00285286" w:rsidRDefault="00864711" w:rsidP="0084327A">
            <w:pPr>
              <w:pStyle w:val="ListParagraph"/>
              <w:ind w:left="0"/>
              <w:rPr>
                <w:rFonts w:ascii="Garamond" w:hAnsi="Garamond"/>
              </w:rPr>
            </w:pPr>
            <w:r w:rsidRPr="00285286">
              <w:rPr>
                <w:rFonts w:ascii="Garamond" w:hAnsi="Garamond"/>
              </w:rPr>
              <w:t xml:space="preserve">Each Subpopulation Affinity </w:t>
            </w:r>
            <w:r>
              <w:rPr>
                <w:rFonts w:ascii="Garamond" w:hAnsi="Garamond"/>
              </w:rPr>
              <w:t xml:space="preserve">ECHO </w:t>
            </w:r>
            <w:r w:rsidRPr="00285286">
              <w:rPr>
                <w:rFonts w:ascii="Garamond" w:hAnsi="Garamond"/>
              </w:rPr>
              <w:t>Session supported by a group of experts who are responsible for planning the content, review of case presentations, and facilitating their respective Affinity</w:t>
            </w:r>
            <w:r>
              <w:rPr>
                <w:rFonts w:ascii="Garamond" w:hAnsi="Garamond"/>
              </w:rPr>
              <w:t xml:space="preserve"> ECHO</w:t>
            </w:r>
            <w:r w:rsidRPr="00285286">
              <w:rPr>
                <w:rFonts w:ascii="Garamond" w:hAnsi="Garamond"/>
              </w:rPr>
              <w:t xml:space="preserve"> Sessions; membership of the Affinity Gr</w:t>
            </w:r>
            <w:r>
              <w:rPr>
                <w:rFonts w:ascii="Garamond" w:hAnsi="Garamond"/>
              </w:rPr>
              <w:t>oup Faculties is comprised of CQII</w:t>
            </w:r>
            <w:r w:rsidRPr="00285286">
              <w:rPr>
                <w:rFonts w:ascii="Garamond" w:hAnsi="Garamond"/>
              </w:rPr>
              <w:t xml:space="preserve"> staff and consultants, spokespersons, and HHIV/AIDS Bureau representatives</w:t>
            </w:r>
          </w:p>
        </w:tc>
      </w:tr>
      <w:tr w:rsidR="00864711" w:rsidRPr="00285286" w14:paraId="6D252720" w14:textId="77777777" w:rsidTr="0084327A">
        <w:tc>
          <w:tcPr>
            <w:tcW w:w="1708" w:type="pct"/>
          </w:tcPr>
          <w:p w14:paraId="2966DB91" w14:textId="77777777" w:rsidR="00864711" w:rsidRPr="00285286" w:rsidRDefault="00864711" w:rsidP="0084327A">
            <w:pPr>
              <w:rPr>
                <w:rFonts w:ascii="Garamond" w:hAnsi="Garamond"/>
              </w:rPr>
            </w:pPr>
            <w:r w:rsidRPr="00285286">
              <w:rPr>
                <w:rFonts w:ascii="Garamond" w:hAnsi="Garamond"/>
              </w:rPr>
              <w:t>Affinity</w:t>
            </w:r>
            <w:r>
              <w:rPr>
                <w:rFonts w:ascii="Garamond" w:hAnsi="Garamond"/>
              </w:rPr>
              <w:t xml:space="preserve"> ECHO </w:t>
            </w:r>
            <w:r w:rsidRPr="00285286">
              <w:rPr>
                <w:rFonts w:ascii="Garamond" w:hAnsi="Garamond"/>
              </w:rPr>
              <w:t>Session</w:t>
            </w:r>
          </w:p>
        </w:tc>
        <w:tc>
          <w:tcPr>
            <w:tcW w:w="3292" w:type="pct"/>
          </w:tcPr>
          <w:p w14:paraId="6A02167A" w14:textId="77777777" w:rsidR="00864711" w:rsidRPr="00285286" w:rsidRDefault="00864711" w:rsidP="0084327A">
            <w:pPr>
              <w:rPr>
                <w:rFonts w:ascii="Garamond" w:hAnsi="Garamond"/>
              </w:rPr>
            </w:pPr>
            <w:r w:rsidRPr="00C10A5F">
              <w:rPr>
                <w:rFonts w:ascii="Garamond" w:hAnsi="Garamond"/>
                <w:sz w:val="22"/>
                <w:szCs w:val="22"/>
              </w:rPr>
              <w:t>Virtual Affinity ECHO Group meetings focused on one of the disparity subpopulations; these sessions follow the teleECHO model and include didactic updates by content experts, case presentations by fellow participants (Community Partners), and opportunities for peer sharing</w:t>
            </w:r>
          </w:p>
        </w:tc>
      </w:tr>
      <w:tr w:rsidR="00864711" w:rsidRPr="00285286" w14:paraId="198DE722" w14:textId="77777777" w:rsidTr="0084327A">
        <w:tc>
          <w:tcPr>
            <w:tcW w:w="1708" w:type="pct"/>
          </w:tcPr>
          <w:p w14:paraId="455AEA8A" w14:textId="77777777" w:rsidR="00864711" w:rsidRPr="00285286" w:rsidRDefault="00864711" w:rsidP="00864711">
            <w:pPr>
              <w:rPr>
                <w:rFonts w:ascii="Garamond" w:hAnsi="Garamond"/>
              </w:rPr>
            </w:pPr>
            <w:r>
              <w:rPr>
                <w:rFonts w:ascii="Garamond" w:hAnsi="Garamond"/>
              </w:rPr>
              <w:t>Benchmarking Report</w:t>
            </w:r>
          </w:p>
        </w:tc>
        <w:tc>
          <w:tcPr>
            <w:tcW w:w="3292" w:type="pct"/>
          </w:tcPr>
          <w:p w14:paraId="4BE489F9" w14:textId="77777777" w:rsidR="00864711" w:rsidRPr="00C10A5F" w:rsidRDefault="00864711" w:rsidP="00864711">
            <w:pPr>
              <w:rPr>
                <w:rFonts w:ascii="Garamond" w:hAnsi="Garamond"/>
                <w:sz w:val="22"/>
                <w:szCs w:val="22"/>
              </w:rPr>
            </w:pPr>
            <w:r w:rsidRPr="00C10A5F">
              <w:rPr>
                <w:rFonts w:ascii="Garamond" w:hAnsi="Garamond"/>
                <w:sz w:val="22"/>
                <w:szCs w:val="22"/>
              </w:rPr>
              <w:t xml:space="preserve">Viral Suppression data are aggregated to allow comparisons across Regional Teams; these benchmarking reports are issued within one month after the submission deadline for Community Partners </w:t>
            </w:r>
          </w:p>
        </w:tc>
      </w:tr>
      <w:tr w:rsidR="00864711" w:rsidRPr="00285286" w14:paraId="1D0C21FC" w14:textId="77777777" w:rsidTr="0084327A">
        <w:trPr>
          <w:trHeight w:val="332"/>
        </w:trPr>
        <w:tc>
          <w:tcPr>
            <w:tcW w:w="1708" w:type="pct"/>
          </w:tcPr>
          <w:p w14:paraId="73E8B660" w14:textId="77777777" w:rsidR="00864711" w:rsidRPr="00285286" w:rsidRDefault="00864711" w:rsidP="00864711">
            <w:pPr>
              <w:rPr>
                <w:rFonts w:ascii="Garamond" w:hAnsi="Garamond"/>
              </w:rPr>
            </w:pPr>
            <w:r w:rsidRPr="00285286">
              <w:rPr>
                <w:rFonts w:ascii="Garamond" w:hAnsi="Garamond"/>
              </w:rPr>
              <w:t>Case Presentation</w:t>
            </w:r>
          </w:p>
        </w:tc>
        <w:tc>
          <w:tcPr>
            <w:tcW w:w="3292" w:type="pct"/>
          </w:tcPr>
          <w:p w14:paraId="41A97577" w14:textId="77777777" w:rsidR="00864711" w:rsidRPr="00285286" w:rsidRDefault="00864711" w:rsidP="00864711">
            <w:pPr>
              <w:rPr>
                <w:rFonts w:ascii="Garamond" w:hAnsi="Garamond"/>
              </w:rPr>
            </w:pPr>
            <w:r w:rsidRPr="00285286">
              <w:rPr>
                <w:rFonts w:ascii="Garamond" w:hAnsi="Garamond"/>
              </w:rPr>
              <w:t xml:space="preserve">Presented by each Collaborative Partner during Affinity </w:t>
            </w:r>
            <w:r>
              <w:rPr>
                <w:rFonts w:ascii="Garamond" w:hAnsi="Garamond"/>
              </w:rPr>
              <w:t xml:space="preserve">ECHO </w:t>
            </w:r>
            <w:r w:rsidRPr="00285286">
              <w:rPr>
                <w:rFonts w:ascii="Garamond" w:hAnsi="Garamond"/>
              </w:rPr>
              <w:t xml:space="preserve">Sessions at least once throughout the Collaborative to promote peer sharing and build local improvement capacity; a standardized case presentation template, slide set, and completed sample are </w:t>
            </w:r>
            <w:r w:rsidRPr="00285286" w:rsidDel="003F268E">
              <w:rPr>
                <w:rFonts w:ascii="Garamond" w:hAnsi="Garamond"/>
              </w:rPr>
              <w:t>provided</w:t>
            </w:r>
          </w:p>
        </w:tc>
      </w:tr>
      <w:tr w:rsidR="00864711" w:rsidRPr="00285286" w14:paraId="77C355E7" w14:textId="77777777" w:rsidTr="0084327A">
        <w:trPr>
          <w:trHeight w:val="332"/>
        </w:trPr>
        <w:tc>
          <w:tcPr>
            <w:tcW w:w="1708" w:type="pct"/>
          </w:tcPr>
          <w:p w14:paraId="75808C85" w14:textId="77777777" w:rsidR="00864711" w:rsidRPr="00285286" w:rsidRDefault="00864711" w:rsidP="00864711">
            <w:pPr>
              <w:rPr>
                <w:rFonts w:ascii="Garamond" w:hAnsi="Garamond"/>
              </w:rPr>
            </w:pPr>
            <w:r>
              <w:rPr>
                <w:rFonts w:ascii="Garamond" w:hAnsi="Garamond"/>
              </w:rPr>
              <w:t>Cross-Part Assessment Tool</w:t>
            </w:r>
          </w:p>
        </w:tc>
        <w:tc>
          <w:tcPr>
            <w:tcW w:w="3292" w:type="pct"/>
          </w:tcPr>
          <w:p w14:paraId="5F9BD18F" w14:textId="77777777" w:rsidR="00864711" w:rsidRPr="00285286" w:rsidRDefault="00864711" w:rsidP="00864711">
            <w:pPr>
              <w:rPr>
                <w:rFonts w:ascii="Garamond" w:hAnsi="Garamond"/>
              </w:rPr>
            </w:pPr>
            <w:r w:rsidRPr="00C10A5F">
              <w:rPr>
                <w:rFonts w:ascii="Garamond" w:hAnsi="Garamond"/>
                <w:sz w:val="22"/>
                <w:szCs w:val="22"/>
              </w:rPr>
              <w:t>Standardized tool used to assess the regional infrastructure and alignment across Community Partners across a Regional Group: cross-Part infrastructure; communication strategies; cross-Part quality management plan; HIV performance measurement; QI projects; and training and technical assistance</w:t>
            </w:r>
          </w:p>
        </w:tc>
      </w:tr>
      <w:tr w:rsidR="00864711" w:rsidRPr="00285286" w14:paraId="5A7B8D2B" w14:textId="77777777" w:rsidTr="0084327A">
        <w:tc>
          <w:tcPr>
            <w:tcW w:w="1708" w:type="pct"/>
          </w:tcPr>
          <w:p w14:paraId="1BC381E5" w14:textId="77777777" w:rsidR="00864711" w:rsidRPr="00285286" w:rsidRDefault="00864711" w:rsidP="00864711">
            <w:pPr>
              <w:rPr>
                <w:rFonts w:ascii="Garamond" w:hAnsi="Garamond"/>
              </w:rPr>
            </w:pPr>
            <w:r w:rsidRPr="00285286">
              <w:rPr>
                <w:rFonts w:ascii="Garamond" w:hAnsi="Garamond"/>
              </w:rPr>
              <w:t>Community Partner</w:t>
            </w:r>
          </w:p>
        </w:tc>
        <w:tc>
          <w:tcPr>
            <w:tcW w:w="3292" w:type="pct"/>
            <w:shd w:val="clear" w:color="auto" w:fill="auto"/>
          </w:tcPr>
          <w:p w14:paraId="365AF526" w14:textId="77777777" w:rsidR="00864711" w:rsidRPr="00285286" w:rsidRDefault="00864711" w:rsidP="00864711">
            <w:pPr>
              <w:rPr>
                <w:rFonts w:ascii="Garamond" w:hAnsi="Garamond"/>
              </w:rPr>
            </w:pPr>
            <w:r w:rsidRPr="00285286">
              <w:rPr>
                <w:rFonts w:ascii="Garamond" w:hAnsi="Garamond"/>
              </w:rPr>
              <w:t>Individual RWHAP recipients or subrecipients participating in the Collaborative; Community Partners include RWHAP-funded agencies that provide direct clinical care or support services or are regional HIV stakeholders</w:t>
            </w:r>
          </w:p>
        </w:tc>
      </w:tr>
      <w:tr w:rsidR="00864711" w:rsidRPr="00285286" w14:paraId="5F8D143E" w14:textId="77777777" w:rsidTr="0084327A">
        <w:tc>
          <w:tcPr>
            <w:tcW w:w="1708" w:type="pct"/>
          </w:tcPr>
          <w:p w14:paraId="50E386B5" w14:textId="77777777" w:rsidR="00864711" w:rsidRPr="00285286" w:rsidRDefault="00864711" w:rsidP="00864711">
            <w:pPr>
              <w:rPr>
                <w:rFonts w:ascii="Garamond" w:hAnsi="Garamond"/>
              </w:rPr>
            </w:pPr>
            <w:r>
              <w:rPr>
                <w:rFonts w:ascii="Garamond" w:hAnsi="Garamond"/>
              </w:rPr>
              <w:t>Community Partner Survey</w:t>
            </w:r>
          </w:p>
        </w:tc>
        <w:tc>
          <w:tcPr>
            <w:tcW w:w="3292" w:type="pct"/>
            <w:shd w:val="clear" w:color="auto" w:fill="auto"/>
          </w:tcPr>
          <w:p w14:paraId="43B3B0A9" w14:textId="77777777" w:rsidR="00864711" w:rsidRPr="00285286" w:rsidRDefault="00864711" w:rsidP="00864711">
            <w:pPr>
              <w:rPr>
                <w:rFonts w:ascii="Garamond" w:hAnsi="Garamond"/>
              </w:rPr>
            </w:pPr>
            <w:r w:rsidRPr="00C10A5F">
              <w:rPr>
                <w:rFonts w:ascii="Garamond" w:hAnsi="Garamond"/>
                <w:sz w:val="22"/>
                <w:szCs w:val="22"/>
              </w:rPr>
              <w:t>A quarterly survey to be completed by Community Partners designed to assess the overall effectiveness of the Collaborative and the functionality of Regional Groups, and to solicit further feedback</w:t>
            </w:r>
          </w:p>
        </w:tc>
      </w:tr>
      <w:tr w:rsidR="00864711" w:rsidRPr="00285286" w14:paraId="4F741570" w14:textId="77777777" w:rsidTr="0084327A">
        <w:tc>
          <w:tcPr>
            <w:tcW w:w="1708" w:type="pct"/>
          </w:tcPr>
          <w:p w14:paraId="424E67FD" w14:textId="77777777" w:rsidR="00864711" w:rsidRPr="00285286" w:rsidRDefault="00864711" w:rsidP="00864711">
            <w:pPr>
              <w:rPr>
                <w:rFonts w:ascii="Garamond" w:hAnsi="Garamond"/>
              </w:rPr>
            </w:pPr>
            <w:r w:rsidRPr="00285286">
              <w:rPr>
                <w:rFonts w:ascii="Garamond" w:hAnsi="Garamond"/>
              </w:rPr>
              <w:t>Consumer</w:t>
            </w:r>
          </w:p>
        </w:tc>
        <w:tc>
          <w:tcPr>
            <w:tcW w:w="3292" w:type="pct"/>
            <w:shd w:val="clear" w:color="auto" w:fill="auto"/>
          </w:tcPr>
          <w:p w14:paraId="54F82A1A" w14:textId="77777777" w:rsidR="00864711" w:rsidRPr="00285286" w:rsidRDefault="00864711" w:rsidP="00864711">
            <w:pPr>
              <w:rPr>
                <w:rFonts w:ascii="Garamond" w:hAnsi="Garamond"/>
              </w:rPr>
            </w:pPr>
            <w:r w:rsidRPr="00285286">
              <w:rPr>
                <w:rFonts w:ascii="Garamond" w:hAnsi="Garamond"/>
              </w:rPr>
              <w:t>People living with HIV who</w:t>
            </w:r>
            <w:r w:rsidRPr="00285286" w:rsidDel="00CA01DE">
              <w:rPr>
                <w:rFonts w:ascii="Garamond" w:hAnsi="Garamond"/>
              </w:rPr>
              <w:t xml:space="preserve"> </w:t>
            </w:r>
            <w:r w:rsidRPr="00285286">
              <w:rPr>
                <w:rFonts w:ascii="Garamond" w:hAnsi="Garamond"/>
              </w:rPr>
              <w:t>are participating in the various aspects of the Collaborative; consumers are engaged in the Planning Group, Regional Group Response Teams, and Affinity Group Faculty among others</w:t>
            </w:r>
          </w:p>
        </w:tc>
      </w:tr>
      <w:tr w:rsidR="00864711" w:rsidRPr="00285286" w14:paraId="76CD9091" w14:textId="77777777" w:rsidTr="0084327A">
        <w:tc>
          <w:tcPr>
            <w:tcW w:w="1708" w:type="pct"/>
          </w:tcPr>
          <w:p w14:paraId="33675C67" w14:textId="77777777" w:rsidR="00864711" w:rsidRPr="00285286" w:rsidRDefault="00864711" w:rsidP="00864711">
            <w:pPr>
              <w:rPr>
                <w:rFonts w:ascii="Garamond" w:hAnsi="Garamond"/>
              </w:rPr>
            </w:pPr>
            <w:r w:rsidRPr="00285286">
              <w:rPr>
                <w:rFonts w:ascii="Garamond" w:hAnsi="Garamond"/>
              </w:rPr>
              <w:t>Content Expert</w:t>
            </w:r>
          </w:p>
        </w:tc>
        <w:tc>
          <w:tcPr>
            <w:tcW w:w="3292" w:type="pct"/>
          </w:tcPr>
          <w:p w14:paraId="1F50B8C8" w14:textId="77777777" w:rsidR="00864711" w:rsidRPr="00285286" w:rsidRDefault="00816FDA" w:rsidP="00864711">
            <w:pPr>
              <w:rPr>
                <w:rFonts w:ascii="Garamond" w:hAnsi="Garamond"/>
              </w:rPr>
            </w:pPr>
            <w:r w:rsidRPr="00C10A5F">
              <w:rPr>
                <w:rFonts w:ascii="Garamond" w:hAnsi="Garamond"/>
                <w:sz w:val="22"/>
                <w:szCs w:val="22"/>
              </w:rPr>
              <w:t xml:space="preserve">Individuals with </w:t>
            </w:r>
            <w:r w:rsidRPr="00C10A5F" w:rsidDel="00F11063">
              <w:rPr>
                <w:rFonts w:ascii="Garamond" w:hAnsi="Garamond"/>
                <w:sz w:val="22"/>
                <w:szCs w:val="22"/>
              </w:rPr>
              <w:t>significant</w:t>
            </w:r>
            <w:r w:rsidRPr="00C10A5F">
              <w:rPr>
                <w:rFonts w:ascii="Garamond" w:hAnsi="Garamond"/>
                <w:sz w:val="22"/>
                <w:szCs w:val="22"/>
              </w:rPr>
              <w:t xml:space="preserve"> content expertise related to a specific disparity subpopulation; individuals may include medical professionals or</w:t>
            </w:r>
            <w:r w:rsidRPr="00C10A5F" w:rsidDel="00F11063">
              <w:rPr>
                <w:rFonts w:ascii="Garamond" w:hAnsi="Garamond"/>
                <w:sz w:val="22"/>
                <w:szCs w:val="22"/>
              </w:rPr>
              <w:t xml:space="preserve"> quality improvement experts</w:t>
            </w:r>
            <w:r w:rsidRPr="00C10A5F">
              <w:rPr>
                <w:rFonts w:ascii="Garamond" w:hAnsi="Garamond"/>
                <w:sz w:val="22"/>
                <w:szCs w:val="22"/>
              </w:rPr>
              <w:t>; these individuals are part of the Affinity ECHO Group Faculty</w:t>
            </w:r>
          </w:p>
        </w:tc>
      </w:tr>
      <w:tr w:rsidR="00864711" w:rsidRPr="00285286" w14:paraId="5AED61EC" w14:textId="77777777" w:rsidTr="0084327A">
        <w:tc>
          <w:tcPr>
            <w:tcW w:w="1708" w:type="pct"/>
          </w:tcPr>
          <w:p w14:paraId="4730088E" w14:textId="77777777" w:rsidR="00864711" w:rsidRPr="00285286" w:rsidRDefault="00864711" w:rsidP="00864711">
            <w:pPr>
              <w:rPr>
                <w:rFonts w:ascii="Garamond" w:hAnsi="Garamond"/>
              </w:rPr>
            </w:pPr>
            <w:r>
              <w:rPr>
                <w:rFonts w:ascii="Garamond" w:hAnsi="Garamond"/>
              </w:rPr>
              <w:t xml:space="preserve">Disparity Calculator </w:t>
            </w:r>
          </w:p>
        </w:tc>
        <w:tc>
          <w:tcPr>
            <w:tcW w:w="3292" w:type="pct"/>
          </w:tcPr>
          <w:p w14:paraId="18C50F6C" w14:textId="77777777" w:rsidR="00864711" w:rsidRPr="00285286" w:rsidRDefault="00864711" w:rsidP="00864711">
            <w:pPr>
              <w:rPr>
                <w:rFonts w:ascii="Garamond" w:hAnsi="Garamond"/>
              </w:rPr>
            </w:pPr>
            <w:r w:rsidRPr="00C10A5F">
              <w:rPr>
                <w:rFonts w:ascii="Garamond" w:hAnsi="Garamond"/>
                <w:sz w:val="22"/>
                <w:szCs w:val="22"/>
              </w:rPr>
              <w:t>An Excel spreadsheet to assist in the decision-making process of Collaborative participants on which disparities to work on based on available performance data.</w:t>
            </w:r>
          </w:p>
        </w:tc>
      </w:tr>
      <w:tr w:rsidR="00864711" w:rsidRPr="00285286" w14:paraId="4E5F2935" w14:textId="77777777" w:rsidTr="0084327A">
        <w:tc>
          <w:tcPr>
            <w:tcW w:w="1708" w:type="pct"/>
          </w:tcPr>
          <w:p w14:paraId="5FD283B5" w14:textId="77777777" w:rsidR="00864711" w:rsidRPr="00285286" w:rsidRDefault="00864711" w:rsidP="00864711">
            <w:pPr>
              <w:rPr>
                <w:rFonts w:ascii="Garamond" w:hAnsi="Garamond"/>
              </w:rPr>
            </w:pPr>
            <w:r w:rsidRPr="00285286">
              <w:rPr>
                <w:rFonts w:ascii="Garamond" w:hAnsi="Garamond"/>
              </w:rPr>
              <w:lastRenderedPageBreak/>
              <w:t>Facilitator</w:t>
            </w:r>
          </w:p>
        </w:tc>
        <w:tc>
          <w:tcPr>
            <w:tcW w:w="3292" w:type="pct"/>
          </w:tcPr>
          <w:p w14:paraId="2A13A2F4" w14:textId="77777777" w:rsidR="00864711" w:rsidRPr="00285286" w:rsidRDefault="00816FDA" w:rsidP="00864711">
            <w:pPr>
              <w:rPr>
                <w:rFonts w:ascii="Garamond" w:hAnsi="Garamond"/>
              </w:rPr>
            </w:pPr>
            <w:r w:rsidRPr="00C10A5F">
              <w:rPr>
                <w:rFonts w:ascii="Garamond" w:hAnsi="Garamond"/>
                <w:sz w:val="22"/>
                <w:szCs w:val="22"/>
              </w:rPr>
              <w:t>Individual contracted by the CQII to plan, coordinate, and facilitate Affinity ECHO Sessions; these individuals are part of the Affinity ECHO Group Faculty</w:t>
            </w:r>
          </w:p>
        </w:tc>
      </w:tr>
      <w:tr w:rsidR="00864711" w:rsidRPr="00285286" w14:paraId="5068A032" w14:textId="77777777" w:rsidTr="0084327A">
        <w:tc>
          <w:tcPr>
            <w:tcW w:w="1708" w:type="pct"/>
          </w:tcPr>
          <w:p w14:paraId="33BCA36E" w14:textId="77777777" w:rsidR="00864711" w:rsidRPr="00285286" w:rsidRDefault="00864711" w:rsidP="00864711">
            <w:pPr>
              <w:rPr>
                <w:rFonts w:ascii="Garamond" w:hAnsi="Garamond"/>
              </w:rPr>
            </w:pPr>
            <w:r w:rsidRPr="00285286">
              <w:rPr>
                <w:rFonts w:ascii="Garamond" w:hAnsi="Garamond"/>
              </w:rPr>
              <w:t>Learning Session</w:t>
            </w:r>
          </w:p>
        </w:tc>
        <w:tc>
          <w:tcPr>
            <w:tcW w:w="3292" w:type="pct"/>
          </w:tcPr>
          <w:p w14:paraId="66D6903F" w14:textId="77777777" w:rsidR="00864711" w:rsidRPr="00285286" w:rsidRDefault="00864711" w:rsidP="00864711">
            <w:pPr>
              <w:rPr>
                <w:rFonts w:ascii="Garamond" w:hAnsi="Garamond"/>
              </w:rPr>
            </w:pPr>
            <w:r w:rsidRPr="00285286">
              <w:rPr>
                <w:rFonts w:ascii="Garamond" w:hAnsi="Garamond"/>
              </w:rPr>
              <w:t xml:space="preserve">In-person or virtual meetings that </w:t>
            </w:r>
            <w:r w:rsidRPr="00285286">
              <w:rPr>
                <w:rFonts w:ascii="Garamond" w:hAnsi="Garamond" w:cstheme="minorHAnsi"/>
              </w:rPr>
              <w:t>bring Community Partners together with HIV/AIDS Bureau and C</w:t>
            </w:r>
            <w:r>
              <w:rPr>
                <w:rFonts w:ascii="Garamond" w:hAnsi="Garamond" w:cstheme="minorHAnsi"/>
              </w:rPr>
              <w:t>QII</w:t>
            </w:r>
            <w:r w:rsidRPr="00285286">
              <w:rPr>
                <w:rFonts w:ascii="Garamond" w:hAnsi="Garamond" w:cstheme="minorHAnsi"/>
              </w:rPr>
              <w:t xml:space="preserve"> representatives, QI coaches, and Planning Group members, and other representatives to develop improvement efforts and promote peer exchange</w:t>
            </w:r>
          </w:p>
        </w:tc>
      </w:tr>
      <w:tr w:rsidR="00864711" w:rsidRPr="00285286" w14:paraId="512A7009" w14:textId="77777777" w:rsidTr="0084327A">
        <w:tc>
          <w:tcPr>
            <w:tcW w:w="1708" w:type="pct"/>
          </w:tcPr>
          <w:p w14:paraId="58D679CD" w14:textId="77777777" w:rsidR="00864711" w:rsidRPr="00285286" w:rsidRDefault="00864711" w:rsidP="00864711">
            <w:pPr>
              <w:rPr>
                <w:rFonts w:ascii="Garamond" w:hAnsi="Garamond"/>
              </w:rPr>
            </w:pPr>
            <w:r w:rsidRPr="00285286">
              <w:rPr>
                <w:rFonts w:ascii="Garamond" w:hAnsi="Garamond"/>
              </w:rPr>
              <w:t>Planning Group</w:t>
            </w:r>
          </w:p>
        </w:tc>
        <w:tc>
          <w:tcPr>
            <w:tcW w:w="3292" w:type="pct"/>
          </w:tcPr>
          <w:p w14:paraId="370B8CEF" w14:textId="77777777" w:rsidR="00864711" w:rsidRPr="00285286" w:rsidRDefault="00864711" w:rsidP="00864711">
            <w:pPr>
              <w:rPr>
                <w:rFonts w:ascii="Garamond" w:hAnsi="Garamond"/>
              </w:rPr>
            </w:pPr>
            <w:r w:rsidRPr="00285286">
              <w:rPr>
                <w:rFonts w:ascii="Garamond" w:hAnsi="Garamond"/>
              </w:rPr>
              <w:t>A set of individuals who plan, develop, and implement the Collaborative; composed of HIV/AIDS Bureau representatives, spokespersons, content experts, QI coaches, ECHO representatives, and C</w:t>
            </w:r>
            <w:r>
              <w:rPr>
                <w:rFonts w:ascii="Garamond" w:hAnsi="Garamond"/>
              </w:rPr>
              <w:t>QII</w:t>
            </w:r>
            <w:r w:rsidRPr="00285286">
              <w:rPr>
                <w:rFonts w:ascii="Garamond" w:hAnsi="Garamond"/>
              </w:rPr>
              <w:t xml:space="preserve"> staff</w:t>
            </w:r>
          </w:p>
        </w:tc>
      </w:tr>
      <w:tr w:rsidR="00864711" w:rsidRPr="00285286" w14:paraId="374E0FB0" w14:textId="77777777" w:rsidTr="0084327A">
        <w:tc>
          <w:tcPr>
            <w:tcW w:w="1708" w:type="pct"/>
          </w:tcPr>
          <w:p w14:paraId="6418E07C" w14:textId="77777777" w:rsidR="00864711" w:rsidRPr="00285286" w:rsidRDefault="00864711" w:rsidP="00864711">
            <w:pPr>
              <w:rPr>
                <w:rFonts w:ascii="Garamond" w:hAnsi="Garamond"/>
              </w:rPr>
            </w:pPr>
            <w:r w:rsidRPr="00864711">
              <w:rPr>
                <w:rFonts w:ascii="Garamond" w:hAnsi="Garamond"/>
              </w:rPr>
              <w:t>Pre-Work Assignments</w:t>
            </w:r>
          </w:p>
        </w:tc>
        <w:tc>
          <w:tcPr>
            <w:tcW w:w="3292" w:type="pct"/>
          </w:tcPr>
          <w:p w14:paraId="2968DF5F" w14:textId="77777777" w:rsidR="00864711" w:rsidRPr="00285286" w:rsidRDefault="00864711" w:rsidP="00864711">
            <w:pPr>
              <w:rPr>
                <w:rFonts w:ascii="Garamond" w:hAnsi="Garamond"/>
              </w:rPr>
            </w:pPr>
            <w:r w:rsidRPr="00C10A5F">
              <w:rPr>
                <w:rFonts w:ascii="Garamond" w:hAnsi="Garamond"/>
                <w:sz w:val="22"/>
                <w:szCs w:val="22"/>
              </w:rPr>
              <w:t>Assignments designed to prepare participants for Learning Session 1; these will include: identifying core Regional Response Team membership and roles, establishing meeting frequency and structure, developing a regional aim statement, etc.</w:t>
            </w:r>
          </w:p>
        </w:tc>
      </w:tr>
      <w:tr w:rsidR="00864711" w:rsidRPr="00285286" w14:paraId="623BA033" w14:textId="77777777" w:rsidTr="0084327A">
        <w:tc>
          <w:tcPr>
            <w:tcW w:w="1708" w:type="pct"/>
          </w:tcPr>
          <w:p w14:paraId="48BC940D" w14:textId="77777777" w:rsidR="00864711" w:rsidRPr="00285286" w:rsidRDefault="00864711" w:rsidP="00864711">
            <w:pPr>
              <w:rPr>
                <w:rFonts w:ascii="Garamond" w:hAnsi="Garamond"/>
              </w:rPr>
            </w:pPr>
            <w:r w:rsidRPr="00285286">
              <w:rPr>
                <w:rFonts w:ascii="Garamond" w:hAnsi="Garamond"/>
              </w:rPr>
              <w:t>QI Coach</w:t>
            </w:r>
          </w:p>
        </w:tc>
        <w:tc>
          <w:tcPr>
            <w:tcW w:w="3292" w:type="pct"/>
          </w:tcPr>
          <w:p w14:paraId="05888AA5" w14:textId="77777777" w:rsidR="00864711" w:rsidRPr="00285286" w:rsidRDefault="00864711" w:rsidP="00864711">
            <w:pPr>
              <w:rPr>
                <w:rFonts w:ascii="Garamond" w:hAnsi="Garamond"/>
              </w:rPr>
            </w:pPr>
            <w:r w:rsidRPr="00285286">
              <w:rPr>
                <w:rFonts w:ascii="Garamond" w:hAnsi="Garamond"/>
              </w:rPr>
              <w:t xml:space="preserve">Quality Improvement (QI) expert contracted by the </w:t>
            </w:r>
            <w:r>
              <w:rPr>
                <w:rFonts w:ascii="Garamond" w:hAnsi="Garamond"/>
              </w:rPr>
              <w:t>CQII</w:t>
            </w:r>
            <w:r w:rsidRPr="00285286">
              <w:rPr>
                <w:rFonts w:ascii="Garamond" w:hAnsi="Garamond"/>
              </w:rPr>
              <w:t xml:space="preserve"> to support Regional Groups</w:t>
            </w:r>
            <w:r w:rsidRPr="00285286" w:rsidDel="00F11063">
              <w:rPr>
                <w:rFonts w:ascii="Garamond" w:hAnsi="Garamond"/>
              </w:rPr>
              <w:t xml:space="preserve"> and </w:t>
            </w:r>
            <w:r w:rsidRPr="00285286">
              <w:rPr>
                <w:rFonts w:ascii="Garamond" w:hAnsi="Garamond"/>
              </w:rPr>
              <w:t>Regional Response Teams</w:t>
            </w:r>
          </w:p>
        </w:tc>
      </w:tr>
      <w:tr w:rsidR="00864711" w:rsidRPr="00285286" w14:paraId="6559CE1C" w14:textId="77777777" w:rsidTr="0084327A">
        <w:tc>
          <w:tcPr>
            <w:tcW w:w="1708" w:type="pct"/>
          </w:tcPr>
          <w:p w14:paraId="247DB093" w14:textId="77777777" w:rsidR="00864711" w:rsidRPr="00285286" w:rsidRDefault="00864711" w:rsidP="00864711">
            <w:pPr>
              <w:rPr>
                <w:rFonts w:ascii="Garamond" w:hAnsi="Garamond"/>
              </w:rPr>
            </w:pPr>
            <w:r>
              <w:rPr>
                <w:rFonts w:ascii="Garamond" w:hAnsi="Garamond"/>
              </w:rPr>
              <w:t xml:space="preserve">QI Intervention </w:t>
            </w:r>
          </w:p>
        </w:tc>
        <w:tc>
          <w:tcPr>
            <w:tcW w:w="3292" w:type="pct"/>
          </w:tcPr>
          <w:p w14:paraId="04EBCE66" w14:textId="77777777" w:rsidR="00864711" w:rsidRPr="00285286" w:rsidRDefault="00864711" w:rsidP="00864711">
            <w:pPr>
              <w:rPr>
                <w:rFonts w:ascii="Garamond" w:hAnsi="Garamond"/>
              </w:rPr>
            </w:pPr>
            <w:r w:rsidRPr="00C10A5F">
              <w:rPr>
                <w:rFonts w:ascii="Garamond" w:hAnsi="Garamond"/>
                <w:sz w:val="22"/>
                <w:szCs w:val="22"/>
              </w:rPr>
              <w:t>A change in some aspect of the system or process with the goal of increasing the quality of care of clients and improving health outcomes.</w:t>
            </w:r>
          </w:p>
        </w:tc>
      </w:tr>
      <w:tr w:rsidR="00864711" w:rsidRPr="00285286" w14:paraId="20EA1C4C" w14:textId="77777777" w:rsidTr="0084327A">
        <w:tc>
          <w:tcPr>
            <w:tcW w:w="1708" w:type="pct"/>
          </w:tcPr>
          <w:p w14:paraId="4144E4B5" w14:textId="77777777" w:rsidR="00864711" w:rsidRPr="00285286" w:rsidRDefault="00864711" w:rsidP="00864711">
            <w:pPr>
              <w:rPr>
                <w:rFonts w:ascii="Garamond" w:hAnsi="Garamond"/>
              </w:rPr>
            </w:pPr>
            <w:r w:rsidRPr="00285286">
              <w:rPr>
                <w:rFonts w:ascii="Garamond" w:hAnsi="Garamond"/>
              </w:rPr>
              <w:t>Regional Group</w:t>
            </w:r>
          </w:p>
        </w:tc>
        <w:tc>
          <w:tcPr>
            <w:tcW w:w="3292" w:type="pct"/>
          </w:tcPr>
          <w:p w14:paraId="0B06DA1C" w14:textId="77777777" w:rsidR="00864711" w:rsidRPr="00285286" w:rsidRDefault="00864711" w:rsidP="00864711">
            <w:pPr>
              <w:rPr>
                <w:rFonts w:ascii="Garamond" w:hAnsi="Garamond"/>
              </w:rPr>
            </w:pPr>
            <w:r w:rsidRPr="00285286">
              <w:rPr>
                <w:rFonts w:ascii="Garamond" w:hAnsi="Garamond"/>
              </w:rPr>
              <w:t>Regionally-based improvement group composed of HIV providers (Community Partners) in a respective catchment area (i.e., state, region</w:t>
            </w:r>
            <w:r w:rsidRPr="00285286" w:rsidDel="001B2956">
              <w:rPr>
                <w:rFonts w:ascii="Garamond" w:hAnsi="Garamond"/>
              </w:rPr>
              <w:t>s</w:t>
            </w:r>
            <w:r w:rsidRPr="00285286">
              <w:rPr>
                <w:rFonts w:ascii="Garamond" w:hAnsi="Garamond"/>
              </w:rPr>
              <w:t xml:space="preserve"> within a state, or cross-state area</w:t>
            </w:r>
            <w:r w:rsidRPr="00285286" w:rsidDel="001B2956">
              <w:rPr>
                <w:rFonts w:ascii="Garamond" w:hAnsi="Garamond"/>
              </w:rPr>
              <w:t>s</w:t>
            </w:r>
            <w:r w:rsidRPr="00285286">
              <w:rPr>
                <w:rFonts w:ascii="Garamond" w:hAnsi="Garamond"/>
              </w:rPr>
              <w:t>) who participate in the Collaborative</w:t>
            </w:r>
          </w:p>
        </w:tc>
      </w:tr>
      <w:tr w:rsidR="00864711" w:rsidRPr="00285286" w14:paraId="6F86CE69" w14:textId="77777777" w:rsidTr="0084327A">
        <w:tc>
          <w:tcPr>
            <w:tcW w:w="1708" w:type="pct"/>
          </w:tcPr>
          <w:p w14:paraId="504C44F5" w14:textId="77777777" w:rsidR="00864711" w:rsidRPr="00285286" w:rsidRDefault="00864711" w:rsidP="00864711">
            <w:pPr>
              <w:rPr>
                <w:rFonts w:ascii="Garamond" w:hAnsi="Garamond"/>
              </w:rPr>
            </w:pPr>
            <w:r>
              <w:rPr>
                <w:rFonts w:ascii="Garamond" w:hAnsi="Garamond"/>
              </w:rPr>
              <w:t xml:space="preserve">Regional Group Aim Statement </w:t>
            </w:r>
          </w:p>
        </w:tc>
        <w:tc>
          <w:tcPr>
            <w:tcW w:w="3292" w:type="pct"/>
          </w:tcPr>
          <w:p w14:paraId="18FE516F" w14:textId="77777777" w:rsidR="00864711" w:rsidRPr="00C10A5F" w:rsidRDefault="00864711" w:rsidP="00864711">
            <w:pPr>
              <w:rPr>
                <w:rFonts w:ascii="Garamond" w:hAnsi="Garamond"/>
                <w:sz w:val="22"/>
                <w:szCs w:val="22"/>
              </w:rPr>
            </w:pPr>
            <w:r w:rsidRPr="00C10A5F">
              <w:rPr>
                <w:rFonts w:ascii="Garamond" w:hAnsi="Garamond"/>
                <w:sz w:val="22"/>
                <w:szCs w:val="22"/>
              </w:rPr>
              <w:t>A document, developed by each Regional Group, describing the current status quo and what each Regional Group intend to accomplish at the end of their improvement work (i.e., further alignment across Parts); it clarifies and focuses the group’s direction and scope of work</w:t>
            </w:r>
          </w:p>
        </w:tc>
      </w:tr>
      <w:tr w:rsidR="00864711" w:rsidRPr="00285286" w14:paraId="762DA0E7" w14:textId="77777777" w:rsidTr="0084327A">
        <w:tc>
          <w:tcPr>
            <w:tcW w:w="1708" w:type="pct"/>
          </w:tcPr>
          <w:p w14:paraId="21A9901A" w14:textId="77777777" w:rsidR="00864711" w:rsidRPr="00285286" w:rsidRDefault="00864711" w:rsidP="00864711">
            <w:pPr>
              <w:rPr>
                <w:rFonts w:ascii="Garamond" w:hAnsi="Garamond"/>
              </w:rPr>
            </w:pPr>
            <w:r w:rsidRPr="00285286">
              <w:rPr>
                <w:rFonts w:ascii="Garamond" w:hAnsi="Garamond"/>
              </w:rPr>
              <w:t>Regional Group Meeting</w:t>
            </w:r>
          </w:p>
        </w:tc>
        <w:tc>
          <w:tcPr>
            <w:tcW w:w="3292" w:type="pct"/>
          </w:tcPr>
          <w:p w14:paraId="0109F5F6" w14:textId="77777777" w:rsidR="00864711" w:rsidRPr="00285286" w:rsidRDefault="00864711" w:rsidP="00864711">
            <w:pPr>
              <w:rPr>
                <w:rFonts w:ascii="Garamond" w:hAnsi="Garamond"/>
              </w:rPr>
            </w:pPr>
            <w:r w:rsidRPr="00285286">
              <w:rPr>
                <w:rFonts w:ascii="Garamond" w:hAnsi="Garamond" w:cstheme="minorHAnsi"/>
              </w:rPr>
              <w:t>Meetings by Regional Response Team, Community Partners, and QI coach to discuss the Collaborative, including data submissions, QI interventions, case presentations, and training efforts</w:t>
            </w:r>
          </w:p>
        </w:tc>
      </w:tr>
      <w:tr w:rsidR="00864711" w:rsidRPr="00285286" w14:paraId="2CB25988" w14:textId="77777777" w:rsidTr="0084327A">
        <w:tc>
          <w:tcPr>
            <w:tcW w:w="1708" w:type="pct"/>
          </w:tcPr>
          <w:p w14:paraId="4F82A326" w14:textId="77777777" w:rsidR="00864711" w:rsidRPr="00285286" w:rsidRDefault="00864711" w:rsidP="00864711">
            <w:pPr>
              <w:rPr>
                <w:rFonts w:ascii="Garamond" w:hAnsi="Garamond"/>
              </w:rPr>
            </w:pPr>
            <w:r w:rsidRPr="00285286">
              <w:rPr>
                <w:rFonts w:ascii="Garamond" w:hAnsi="Garamond"/>
              </w:rPr>
              <w:t>Regional Response Team</w:t>
            </w:r>
          </w:p>
        </w:tc>
        <w:tc>
          <w:tcPr>
            <w:tcW w:w="3292" w:type="pct"/>
          </w:tcPr>
          <w:p w14:paraId="61B9B71A" w14:textId="77777777" w:rsidR="00864711" w:rsidRPr="00285286" w:rsidRDefault="00864711" w:rsidP="00864711">
            <w:pPr>
              <w:rPr>
                <w:rFonts w:ascii="Garamond" w:hAnsi="Garamond"/>
              </w:rPr>
            </w:pPr>
            <w:r w:rsidRPr="00C10A5F">
              <w:rPr>
                <w:rFonts w:ascii="Garamond" w:hAnsi="Garamond"/>
                <w:sz w:val="22"/>
                <w:szCs w:val="22"/>
              </w:rPr>
              <w:t xml:space="preserve">Community Partners form this cross-functional group of local quality leaders representing the Regional Group; the Regional Response Teams assume key roles and responsibilities of the Regional Group, and include at least one consumer in each team.  </w:t>
            </w:r>
          </w:p>
        </w:tc>
      </w:tr>
      <w:tr w:rsidR="00864711" w:rsidRPr="00285286" w14:paraId="48AB0B94" w14:textId="77777777" w:rsidTr="0084327A">
        <w:tc>
          <w:tcPr>
            <w:tcW w:w="1708" w:type="pct"/>
          </w:tcPr>
          <w:p w14:paraId="51217E43" w14:textId="77777777" w:rsidR="00864711" w:rsidRPr="00285286" w:rsidRDefault="00864711" w:rsidP="00864711">
            <w:pPr>
              <w:rPr>
                <w:rFonts w:ascii="Garamond" w:hAnsi="Garamond"/>
              </w:rPr>
            </w:pPr>
            <w:r w:rsidRPr="00285286">
              <w:rPr>
                <w:rFonts w:ascii="Garamond" w:hAnsi="Garamond"/>
              </w:rPr>
              <w:t>Spokesperson</w:t>
            </w:r>
          </w:p>
        </w:tc>
        <w:tc>
          <w:tcPr>
            <w:tcW w:w="3292" w:type="pct"/>
          </w:tcPr>
          <w:p w14:paraId="0CF5B19A" w14:textId="77777777" w:rsidR="00864711" w:rsidRPr="00285286" w:rsidRDefault="00864711" w:rsidP="00864711">
            <w:pPr>
              <w:rPr>
                <w:rFonts w:ascii="Garamond" w:hAnsi="Garamond"/>
              </w:rPr>
            </w:pPr>
            <w:r w:rsidRPr="00285286">
              <w:rPr>
                <w:rFonts w:ascii="Garamond" w:hAnsi="Garamond"/>
              </w:rPr>
              <w:t>Individual living with HIV who represents a subpopulation of focus for this Collaborative and actively participates in the Planning Group and Affinity Group Faculty</w:t>
            </w:r>
          </w:p>
        </w:tc>
      </w:tr>
      <w:tr w:rsidR="00864711" w:rsidRPr="00285286" w14:paraId="495009C8" w14:textId="77777777" w:rsidTr="0084327A">
        <w:tc>
          <w:tcPr>
            <w:tcW w:w="1708" w:type="pct"/>
          </w:tcPr>
          <w:p w14:paraId="64E8142A" w14:textId="77777777" w:rsidR="00864711" w:rsidRPr="00285286" w:rsidRDefault="00864711" w:rsidP="00864711">
            <w:pPr>
              <w:rPr>
                <w:rFonts w:ascii="Garamond" w:hAnsi="Garamond"/>
              </w:rPr>
            </w:pPr>
            <w:r w:rsidRPr="00285286">
              <w:rPr>
                <w:rFonts w:ascii="Garamond" w:hAnsi="Garamond"/>
              </w:rPr>
              <w:t>Subpopulation</w:t>
            </w:r>
            <w:r>
              <w:rPr>
                <w:rFonts w:ascii="Garamond" w:hAnsi="Garamond"/>
              </w:rPr>
              <w:t xml:space="preserve"> </w:t>
            </w:r>
            <w:r w:rsidRPr="00285286">
              <w:rPr>
                <w:rFonts w:ascii="Garamond" w:hAnsi="Garamond"/>
              </w:rPr>
              <w:t>Affinity</w:t>
            </w:r>
            <w:r>
              <w:rPr>
                <w:rFonts w:ascii="Garamond" w:hAnsi="Garamond"/>
              </w:rPr>
              <w:t xml:space="preserve"> ECHO</w:t>
            </w:r>
            <w:r w:rsidRPr="00285286">
              <w:rPr>
                <w:rFonts w:ascii="Garamond" w:hAnsi="Garamond"/>
              </w:rPr>
              <w:t xml:space="preserve"> Session</w:t>
            </w:r>
          </w:p>
        </w:tc>
        <w:tc>
          <w:tcPr>
            <w:tcW w:w="3292" w:type="pct"/>
          </w:tcPr>
          <w:p w14:paraId="365A8293" w14:textId="77777777" w:rsidR="00864711" w:rsidRPr="00285286" w:rsidRDefault="00864711" w:rsidP="00864711">
            <w:pPr>
              <w:rPr>
                <w:rFonts w:ascii="Garamond" w:hAnsi="Garamond"/>
              </w:rPr>
            </w:pPr>
            <w:r w:rsidRPr="00285286">
              <w:rPr>
                <w:rFonts w:ascii="Garamond" w:hAnsi="Garamond"/>
              </w:rPr>
              <w:t>Virtual meetings focused</w:t>
            </w:r>
            <w:r w:rsidRPr="00285286" w:rsidDel="00AB3075">
              <w:rPr>
                <w:rFonts w:ascii="Garamond" w:hAnsi="Garamond"/>
              </w:rPr>
              <w:t xml:space="preserve"> </w:t>
            </w:r>
            <w:r w:rsidRPr="00285286" w:rsidDel="003F268E">
              <w:rPr>
                <w:rFonts w:ascii="Garamond" w:hAnsi="Garamond"/>
              </w:rPr>
              <w:t>on</w:t>
            </w:r>
            <w:r w:rsidRPr="00285286">
              <w:rPr>
                <w:rFonts w:ascii="Garamond" w:hAnsi="Garamond"/>
              </w:rPr>
              <w:t xml:space="preserve"> </w:t>
            </w:r>
            <w:r w:rsidRPr="00285286" w:rsidDel="003F268E">
              <w:rPr>
                <w:rFonts w:ascii="Garamond" w:hAnsi="Garamond"/>
              </w:rPr>
              <w:t xml:space="preserve">one of the </w:t>
            </w:r>
            <w:r w:rsidRPr="00285286">
              <w:rPr>
                <w:rFonts w:ascii="Garamond" w:hAnsi="Garamond"/>
              </w:rPr>
              <w:t xml:space="preserve">disparity subpopulations; Affinity </w:t>
            </w:r>
            <w:r>
              <w:rPr>
                <w:rFonts w:ascii="Garamond" w:hAnsi="Garamond"/>
              </w:rPr>
              <w:t xml:space="preserve">ECHO </w:t>
            </w:r>
            <w:r w:rsidRPr="00285286">
              <w:rPr>
                <w:rFonts w:ascii="Garamond" w:hAnsi="Garamond"/>
              </w:rPr>
              <w:t xml:space="preserve">Sessions are attended by </w:t>
            </w:r>
            <w:r w:rsidRPr="00285286" w:rsidDel="00AB3075">
              <w:rPr>
                <w:rFonts w:ascii="Garamond" w:hAnsi="Garamond"/>
              </w:rPr>
              <w:t xml:space="preserve">individual </w:t>
            </w:r>
            <w:r w:rsidRPr="00285286">
              <w:rPr>
                <w:rFonts w:ascii="Garamond" w:hAnsi="Garamond"/>
              </w:rPr>
              <w:t>participants focusing on the same subpopulation, facilitator</w:t>
            </w:r>
            <w:r w:rsidRPr="00285286">
              <w:rPr>
                <w:rFonts w:ascii="Garamond" w:hAnsi="Garamond" w:cstheme="minorHAnsi"/>
              </w:rPr>
              <w:t xml:space="preserve">, content expert(s), and </w:t>
            </w:r>
            <w:r w:rsidRPr="00285286" w:rsidDel="003F268E">
              <w:rPr>
                <w:rFonts w:ascii="Garamond" w:hAnsi="Garamond" w:cstheme="minorHAnsi"/>
              </w:rPr>
              <w:t xml:space="preserve">two </w:t>
            </w:r>
            <w:r w:rsidRPr="00285286">
              <w:rPr>
                <w:rFonts w:ascii="Garamond" w:hAnsi="Garamond" w:cstheme="minorHAnsi"/>
              </w:rPr>
              <w:t xml:space="preserve">subpopulation-specific spokespersons; agenda </w:t>
            </w:r>
            <w:r w:rsidRPr="00285286" w:rsidDel="003F268E">
              <w:rPr>
                <w:rFonts w:ascii="Garamond" w:hAnsi="Garamond" w:cstheme="minorHAnsi"/>
              </w:rPr>
              <w:t>include</w:t>
            </w:r>
            <w:r w:rsidRPr="00285286">
              <w:rPr>
                <w:rFonts w:ascii="Garamond" w:hAnsi="Garamond" w:cstheme="minorHAnsi"/>
              </w:rPr>
              <w:t>s</w:t>
            </w:r>
            <w:r w:rsidRPr="00285286" w:rsidDel="003F268E">
              <w:rPr>
                <w:rFonts w:ascii="Garamond" w:hAnsi="Garamond" w:cstheme="minorHAnsi"/>
              </w:rPr>
              <w:t xml:space="preserve"> didactic presentation from a content expert and case presentations </w:t>
            </w:r>
            <w:r w:rsidRPr="00285286">
              <w:rPr>
                <w:rFonts w:ascii="Garamond" w:hAnsi="Garamond" w:cstheme="minorHAnsi"/>
              </w:rPr>
              <w:t xml:space="preserve">by Collaborative </w:t>
            </w:r>
            <w:r w:rsidRPr="00285286" w:rsidDel="003F268E">
              <w:rPr>
                <w:rFonts w:ascii="Garamond" w:hAnsi="Garamond" w:cstheme="minorHAnsi"/>
              </w:rPr>
              <w:t>participants</w:t>
            </w:r>
          </w:p>
        </w:tc>
      </w:tr>
      <w:tr w:rsidR="00864711" w:rsidRPr="00285286" w14:paraId="35AB3491" w14:textId="77777777" w:rsidTr="0084327A">
        <w:tc>
          <w:tcPr>
            <w:tcW w:w="1708" w:type="pct"/>
          </w:tcPr>
          <w:p w14:paraId="1E942955" w14:textId="77777777" w:rsidR="00864711" w:rsidRPr="00285286" w:rsidRDefault="00864711" w:rsidP="00864711">
            <w:pPr>
              <w:rPr>
                <w:rFonts w:ascii="Garamond" w:hAnsi="Garamond"/>
              </w:rPr>
            </w:pPr>
            <w:r>
              <w:rPr>
                <w:rFonts w:ascii="Garamond" w:hAnsi="Garamond"/>
              </w:rPr>
              <w:lastRenderedPageBreak/>
              <w:t>Sustainability Plan</w:t>
            </w:r>
          </w:p>
        </w:tc>
        <w:tc>
          <w:tcPr>
            <w:tcW w:w="3292" w:type="pct"/>
          </w:tcPr>
          <w:p w14:paraId="35025608" w14:textId="77777777" w:rsidR="00864711" w:rsidRPr="00285286" w:rsidRDefault="00864711" w:rsidP="00864711">
            <w:pPr>
              <w:rPr>
                <w:rFonts w:ascii="Garamond" w:hAnsi="Garamond"/>
              </w:rPr>
            </w:pPr>
            <w:r w:rsidRPr="00C10A5F">
              <w:rPr>
                <w:rFonts w:ascii="Garamond" w:hAnsi="Garamond"/>
                <w:sz w:val="22"/>
                <w:szCs w:val="22"/>
              </w:rPr>
              <w:t>A written document authored by the Regional Group to envision how Regional Group activities will occur beyond the formal Collaborative (after September 2019)</w:t>
            </w:r>
          </w:p>
        </w:tc>
      </w:tr>
      <w:tr w:rsidR="00816FDA" w:rsidRPr="00285286" w14:paraId="741B2D4F" w14:textId="77777777" w:rsidTr="0084327A">
        <w:tc>
          <w:tcPr>
            <w:tcW w:w="1708" w:type="pct"/>
          </w:tcPr>
          <w:p w14:paraId="040C7958" w14:textId="77777777" w:rsidR="00816FDA" w:rsidRDefault="00816FDA" w:rsidP="00864711">
            <w:pPr>
              <w:rPr>
                <w:rFonts w:ascii="Garamond" w:hAnsi="Garamond"/>
              </w:rPr>
            </w:pPr>
            <w:r>
              <w:rPr>
                <w:rFonts w:ascii="Garamond" w:hAnsi="Garamond"/>
              </w:rPr>
              <w:t>Subpopulation Affinity ECHO Session</w:t>
            </w:r>
          </w:p>
        </w:tc>
        <w:tc>
          <w:tcPr>
            <w:tcW w:w="3292" w:type="pct"/>
          </w:tcPr>
          <w:p w14:paraId="6D97D033" w14:textId="77777777" w:rsidR="00816FDA" w:rsidRPr="00C10A5F" w:rsidRDefault="00816FDA" w:rsidP="00864711">
            <w:pPr>
              <w:rPr>
                <w:rFonts w:ascii="Garamond" w:hAnsi="Garamond"/>
                <w:sz w:val="22"/>
                <w:szCs w:val="22"/>
              </w:rPr>
            </w:pPr>
            <w:r w:rsidRPr="00C10A5F">
              <w:rPr>
                <w:rFonts w:ascii="Garamond" w:hAnsi="Garamond"/>
                <w:sz w:val="22"/>
                <w:szCs w:val="22"/>
              </w:rPr>
              <w:t>Virtual meetings focused</w:t>
            </w:r>
            <w:r w:rsidRPr="00C10A5F" w:rsidDel="00AB3075">
              <w:rPr>
                <w:rFonts w:ascii="Garamond" w:hAnsi="Garamond"/>
                <w:sz w:val="22"/>
                <w:szCs w:val="22"/>
              </w:rPr>
              <w:t xml:space="preserve"> </w:t>
            </w:r>
            <w:r w:rsidRPr="00C10A5F" w:rsidDel="003F268E">
              <w:rPr>
                <w:rFonts w:ascii="Garamond" w:hAnsi="Garamond"/>
                <w:sz w:val="22"/>
                <w:szCs w:val="22"/>
              </w:rPr>
              <w:t>on</w:t>
            </w:r>
            <w:r w:rsidRPr="00C10A5F">
              <w:rPr>
                <w:rFonts w:ascii="Garamond" w:hAnsi="Garamond"/>
                <w:sz w:val="22"/>
                <w:szCs w:val="22"/>
              </w:rPr>
              <w:t xml:space="preserve"> </w:t>
            </w:r>
            <w:r w:rsidRPr="00C10A5F" w:rsidDel="003F268E">
              <w:rPr>
                <w:rFonts w:ascii="Garamond" w:hAnsi="Garamond"/>
                <w:sz w:val="22"/>
                <w:szCs w:val="22"/>
              </w:rPr>
              <w:t xml:space="preserve">one of the </w:t>
            </w:r>
            <w:r w:rsidRPr="00C10A5F">
              <w:rPr>
                <w:rFonts w:ascii="Garamond" w:hAnsi="Garamond"/>
                <w:sz w:val="22"/>
                <w:szCs w:val="22"/>
              </w:rPr>
              <w:t xml:space="preserve">disparity subpopulations; Affinity ECHO Sessions are attended by </w:t>
            </w:r>
            <w:r w:rsidRPr="00C10A5F" w:rsidDel="00AB3075">
              <w:rPr>
                <w:rFonts w:ascii="Garamond" w:hAnsi="Garamond"/>
                <w:sz w:val="22"/>
                <w:szCs w:val="22"/>
              </w:rPr>
              <w:t xml:space="preserve">individual </w:t>
            </w:r>
            <w:r w:rsidRPr="00C10A5F">
              <w:rPr>
                <w:rFonts w:ascii="Garamond" w:hAnsi="Garamond"/>
                <w:sz w:val="22"/>
                <w:szCs w:val="22"/>
              </w:rPr>
              <w:t xml:space="preserve">participants focusing on the same subpopulation, facilitator, content expert(s), and </w:t>
            </w:r>
            <w:r w:rsidRPr="00C10A5F" w:rsidDel="003F268E">
              <w:rPr>
                <w:rFonts w:ascii="Garamond" w:hAnsi="Garamond"/>
                <w:sz w:val="22"/>
                <w:szCs w:val="22"/>
              </w:rPr>
              <w:t xml:space="preserve">two </w:t>
            </w:r>
            <w:r w:rsidRPr="00C10A5F">
              <w:rPr>
                <w:rFonts w:ascii="Garamond" w:hAnsi="Garamond"/>
                <w:sz w:val="22"/>
                <w:szCs w:val="22"/>
              </w:rPr>
              <w:t xml:space="preserve">subpopulation-specific Spokespersons; agenda </w:t>
            </w:r>
            <w:r w:rsidRPr="00C10A5F" w:rsidDel="003F268E">
              <w:rPr>
                <w:rFonts w:ascii="Garamond" w:hAnsi="Garamond"/>
                <w:sz w:val="22"/>
                <w:szCs w:val="22"/>
              </w:rPr>
              <w:t>include</w:t>
            </w:r>
            <w:r w:rsidRPr="00C10A5F">
              <w:rPr>
                <w:rFonts w:ascii="Garamond" w:hAnsi="Garamond"/>
                <w:sz w:val="22"/>
                <w:szCs w:val="22"/>
              </w:rPr>
              <w:t>s</w:t>
            </w:r>
            <w:r w:rsidRPr="00C10A5F" w:rsidDel="003F268E">
              <w:rPr>
                <w:rFonts w:ascii="Garamond" w:hAnsi="Garamond"/>
                <w:sz w:val="22"/>
                <w:szCs w:val="22"/>
              </w:rPr>
              <w:t xml:space="preserve"> didactic presentation from a content expert and case presentations </w:t>
            </w:r>
            <w:r w:rsidRPr="00C10A5F">
              <w:rPr>
                <w:rFonts w:ascii="Garamond" w:hAnsi="Garamond"/>
                <w:sz w:val="22"/>
                <w:szCs w:val="22"/>
              </w:rPr>
              <w:t xml:space="preserve">by Collaborative </w:t>
            </w:r>
            <w:r w:rsidRPr="00C10A5F" w:rsidDel="003F268E">
              <w:rPr>
                <w:rFonts w:ascii="Garamond" w:hAnsi="Garamond"/>
                <w:sz w:val="22"/>
                <w:szCs w:val="22"/>
              </w:rPr>
              <w:t>participants</w:t>
            </w:r>
          </w:p>
        </w:tc>
      </w:tr>
      <w:tr w:rsidR="00864711" w:rsidRPr="00285286" w14:paraId="4F88370C" w14:textId="77777777" w:rsidTr="0084327A">
        <w:tc>
          <w:tcPr>
            <w:tcW w:w="1708" w:type="pct"/>
          </w:tcPr>
          <w:p w14:paraId="51A62868" w14:textId="77777777" w:rsidR="00864711" w:rsidRPr="00285286" w:rsidRDefault="00864711" w:rsidP="00864711">
            <w:pPr>
              <w:rPr>
                <w:rFonts w:ascii="Garamond" w:hAnsi="Garamond"/>
              </w:rPr>
            </w:pPr>
            <w:r>
              <w:rPr>
                <w:rFonts w:ascii="Garamond" w:hAnsi="Garamond"/>
              </w:rPr>
              <w:t>Training Log</w:t>
            </w:r>
          </w:p>
        </w:tc>
        <w:tc>
          <w:tcPr>
            <w:tcW w:w="3292" w:type="pct"/>
          </w:tcPr>
          <w:p w14:paraId="6E690F98" w14:textId="77777777" w:rsidR="00864711" w:rsidRPr="00285286" w:rsidRDefault="00864711" w:rsidP="00864711">
            <w:pPr>
              <w:rPr>
                <w:rFonts w:ascii="Garamond" w:hAnsi="Garamond"/>
              </w:rPr>
            </w:pPr>
            <w:r w:rsidRPr="00C10A5F">
              <w:rPr>
                <w:rFonts w:ascii="Garamond" w:hAnsi="Garamond"/>
                <w:sz w:val="22"/>
                <w:szCs w:val="22"/>
              </w:rPr>
              <w:t>A log to track all provider and consumer training activities, conducted either by the Regional Groups or centrally by CQII; Regional Group trainings are routinely reported to CQII</w:t>
            </w:r>
          </w:p>
        </w:tc>
      </w:tr>
      <w:tr w:rsidR="00864711" w:rsidRPr="00285286" w14:paraId="50A17A5E" w14:textId="77777777" w:rsidTr="0084327A">
        <w:trPr>
          <w:trHeight w:val="1313"/>
        </w:trPr>
        <w:tc>
          <w:tcPr>
            <w:tcW w:w="1708" w:type="pct"/>
          </w:tcPr>
          <w:p w14:paraId="37B4B8E0" w14:textId="77777777" w:rsidR="00864711" w:rsidRPr="00285286" w:rsidRDefault="00864711" w:rsidP="00864711">
            <w:pPr>
              <w:rPr>
                <w:rFonts w:ascii="Garamond" w:hAnsi="Garamond"/>
              </w:rPr>
            </w:pPr>
            <w:r w:rsidRPr="00285286">
              <w:rPr>
                <w:rFonts w:ascii="Garamond" w:hAnsi="Garamond"/>
              </w:rPr>
              <w:t>Vanguard Meeting</w:t>
            </w:r>
          </w:p>
        </w:tc>
        <w:tc>
          <w:tcPr>
            <w:tcW w:w="3292" w:type="pct"/>
          </w:tcPr>
          <w:p w14:paraId="2B254A55" w14:textId="77777777" w:rsidR="00864711" w:rsidRPr="00285286" w:rsidRDefault="00864711" w:rsidP="00864711">
            <w:pPr>
              <w:rPr>
                <w:rFonts w:ascii="Garamond" w:hAnsi="Garamond" w:cstheme="minorHAnsi"/>
              </w:rPr>
            </w:pPr>
            <w:r w:rsidRPr="00285286">
              <w:rPr>
                <w:rFonts w:ascii="Garamond" w:hAnsi="Garamond" w:cstheme="minorHAnsi"/>
              </w:rPr>
              <w:t>In-person meeting prior to Learning Session 1 to plan the upcoming Collaborative and gather further input from internal and external stakeholders; p</w:t>
            </w:r>
            <w:r w:rsidRPr="00285286" w:rsidDel="00F11063">
              <w:rPr>
                <w:rFonts w:ascii="Garamond" w:hAnsi="Garamond"/>
              </w:rPr>
              <w:t>articipants</w:t>
            </w:r>
            <w:r w:rsidRPr="00285286">
              <w:rPr>
                <w:rFonts w:ascii="Garamond" w:hAnsi="Garamond"/>
              </w:rPr>
              <w:t xml:space="preserve"> include </w:t>
            </w:r>
            <w:r w:rsidRPr="00285286" w:rsidDel="00F11063">
              <w:rPr>
                <w:rFonts w:ascii="Garamond" w:hAnsi="Garamond" w:cstheme="minorHAnsi"/>
              </w:rPr>
              <w:t xml:space="preserve">diverse </w:t>
            </w:r>
            <w:r w:rsidRPr="00285286">
              <w:rPr>
                <w:rFonts w:ascii="Garamond" w:hAnsi="Garamond" w:cstheme="minorHAnsi"/>
              </w:rPr>
              <w:t xml:space="preserve">RWHAP </w:t>
            </w:r>
            <w:r w:rsidRPr="00285286" w:rsidDel="00F11063">
              <w:rPr>
                <w:rFonts w:ascii="Garamond" w:hAnsi="Garamond" w:cstheme="minorHAnsi"/>
              </w:rPr>
              <w:t xml:space="preserve">recipients HIV/AIDS Bureau representatives, QI coaches, </w:t>
            </w:r>
            <w:r w:rsidRPr="00285286">
              <w:rPr>
                <w:rFonts w:ascii="Garamond" w:hAnsi="Garamond" w:cstheme="minorHAnsi"/>
              </w:rPr>
              <w:t>spokespersons</w:t>
            </w:r>
            <w:r w:rsidRPr="00285286" w:rsidDel="00F11063">
              <w:rPr>
                <w:rFonts w:ascii="Garamond" w:hAnsi="Garamond" w:cstheme="minorHAnsi"/>
              </w:rPr>
              <w:t xml:space="preserve">, </w:t>
            </w:r>
            <w:r w:rsidRPr="00285286">
              <w:rPr>
                <w:rFonts w:ascii="Garamond" w:hAnsi="Garamond" w:cstheme="minorHAnsi"/>
              </w:rPr>
              <w:t xml:space="preserve">and </w:t>
            </w:r>
            <w:r w:rsidRPr="00285286" w:rsidDel="00F11063">
              <w:rPr>
                <w:rFonts w:ascii="Garamond" w:hAnsi="Garamond" w:cstheme="minorHAnsi"/>
              </w:rPr>
              <w:t>Project ECHO</w:t>
            </w:r>
          </w:p>
        </w:tc>
      </w:tr>
      <w:tr w:rsidR="00864711" w:rsidRPr="00285286" w14:paraId="77DB3BA7" w14:textId="77777777" w:rsidTr="0084327A">
        <w:trPr>
          <w:trHeight w:val="1313"/>
        </w:trPr>
        <w:tc>
          <w:tcPr>
            <w:tcW w:w="1708" w:type="pct"/>
          </w:tcPr>
          <w:p w14:paraId="5DE039AB" w14:textId="77777777" w:rsidR="00864711" w:rsidRPr="00285286" w:rsidRDefault="00864711" w:rsidP="00864711">
            <w:pPr>
              <w:rPr>
                <w:rFonts w:ascii="Garamond" w:hAnsi="Garamond"/>
              </w:rPr>
            </w:pPr>
            <w:r>
              <w:rPr>
                <w:rFonts w:ascii="Garamond" w:hAnsi="Garamond"/>
              </w:rPr>
              <w:t xml:space="preserve">Viral Suppression Data </w:t>
            </w:r>
          </w:p>
        </w:tc>
        <w:tc>
          <w:tcPr>
            <w:tcW w:w="3292" w:type="pct"/>
          </w:tcPr>
          <w:p w14:paraId="7E1146EF" w14:textId="77777777" w:rsidR="00864711" w:rsidRPr="00285286" w:rsidRDefault="00864711" w:rsidP="00864711">
            <w:pPr>
              <w:rPr>
                <w:rFonts w:ascii="Garamond" w:hAnsi="Garamond" w:cstheme="minorHAnsi"/>
              </w:rPr>
            </w:pPr>
            <w:r w:rsidRPr="00C10A5F">
              <w:rPr>
                <w:rFonts w:ascii="Garamond" w:hAnsi="Garamond"/>
                <w:sz w:val="22"/>
                <w:szCs w:val="22"/>
              </w:rPr>
              <w:t>Every other month, each Community Partner submits their viral suppression data (HAB viral suppression measure definition: National Quality Forum #: 2082) for a) all PLWH receiving HIV care (entire HIV caseload); and b) participant-selected disparity group (identified subpopulation)</w:t>
            </w:r>
          </w:p>
        </w:tc>
      </w:tr>
    </w:tbl>
    <w:p w14:paraId="059D8945" w14:textId="77777777" w:rsidR="00FE6D2E" w:rsidRDefault="007159F2" w:rsidP="007159F2">
      <w:bookmarkStart w:id="0" w:name="_GoBack"/>
      <w:bookmarkEnd w:id="0"/>
    </w:p>
    <w:sectPr w:rsidR="00FE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11"/>
    <w:rsid w:val="007159F2"/>
    <w:rsid w:val="00816FDA"/>
    <w:rsid w:val="00864711"/>
    <w:rsid w:val="009D1F6A"/>
    <w:rsid w:val="00DD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1D2E"/>
  <w15:chartTrackingRefBased/>
  <w15:docId w15:val="{95277E33-E96C-48BD-AD67-FD63A046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711"/>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647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4711"/>
    <w:rPr>
      <w:rFonts w:asciiTheme="majorHAnsi" w:eastAsiaTheme="majorEastAsia" w:hAnsiTheme="majorHAnsi" w:cs="Times New Roman"/>
      <w:sz w:val="24"/>
      <w:szCs w:val="24"/>
    </w:rPr>
  </w:style>
  <w:style w:type="paragraph" w:styleId="ListParagraph">
    <w:name w:val="List Paragraph"/>
    <w:basedOn w:val="Normal"/>
    <w:uiPriority w:val="34"/>
    <w:qFormat/>
    <w:rsid w:val="00864711"/>
    <w:pPr>
      <w:ind w:left="720"/>
      <w:contextualSpacing/>
    </w:pPr>
  </w:style>
  <w:style w:type="table" w:styleId="TableGrid">
    <w:name w:val="Table Grid"/>
    <w:basedOn w:val="TableNormal"/>
    <w:uiPriority w:val="39"/>
    <w:rsid w:val="0086471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11"/>
    <w:rPr>
      <w:rFonts w:ascii="Segoe UI" w:hAnsi="Segoe UI" w:cs="Segoe UI"/>
      <w:sz w:val="18"/>
      <w:szCs w:val="18"/>
    </w:rPr>
  </w:style>
  <w:style w:type="character" w:styleId="CommentReference">
    <w:name w:val="annotation reference"/>
    <w:basedOn w:val="DefaultParagraphFont"/>
    <w:uiPriority w:val="99"/>
    <w:semiHidden/>
    <w:unhideWhenUsed/>
    <w:rsid w:val="00816FDA"/>
    <w:rPr>
      <w:sz w:val="16"/>
      <w:szCs w:val="16"/>
    </w:rPr>
  </w:style>
  <w:style w:type="paragraph" w:styleId="CommentText">
    <w:name w:val="annotation text"/>
    <w:basedOn w:val="Normal"/>
    <w:link w:val="CommentTextChar"/>
    <w:uiPriority w:val="99"/>
    <w:semiHidden/>
    <w:unhideWhenUsed/>
    <w:rsid w:val="00816FDA"/>
    <w:rPr>
      <w:sz w:val="20"/>
      <w:szCs w:val="20"/>
    </w:rPr>
  </w:style>
  <w:style w:type="character" w:customStyle="1" w:styleId="CommentTextChar">
    <w:name w:val="Comment Text Char"/>
    <w:basedOn w:val="DefaultParagraphFont"/>
    <w:link w:val="CommentText"/>
    <w:uiPriority w:val="99"/>
    <w:semiHidden/>
    <w:rsid w:val="00816F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16FDA"/>
    <w:rPr>
      <w:b/>
      <w:bCs/>
    </w:rPr>
  </w:style>
  <w:style w:type="character" w:customStyle="1" w:styleId="CommentSubjectChar">
    <w:name w:val="Comment Subject Char"/>
    <w:basedOn w:val="CommentTextChar"/>
    <w:link w:val="CommentSubject"/>
    <w:uiPriority w:val="99"/>
    <w:semiHidden/>
    <w:rsid w:val="00816FD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Aniqa (HEALTH)</dc:creator>
  <cp:keywords/>
  <dc:description/>
  <cp:lastModifiedBy>Osborne, Zoe L (HEALTH)</cp:lastModifiedBy>
  <cp:revision>2</cp:revision>
  <dcterms:created xsi:type="dcterms:W3CDTF">2018-03-13T14:14:00Z</dcterms:created>
  <dcterms:modified xsi:type="dcterms:W3CDTF">2018-03-21T20:17:00Z</dcterms:modified>
</cp:coreProperties>
</file>